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2"/>
          <w:szCs w:val="20"/>
          <w:lang w:val="en-US" w:eastAsia="zh-CN"/>
        </w:rPr>
      </w:pPr>
      <w:r>
        <w:rPr>
          <w:rFonts w:hint="eastAsia"/>
          <w:sz w:val="32"/>
          <w:szCs w:val="20"/>
          <w:lang w:val="en-US" w:eastAsia="zh-CN"/>
        </w:rPr>
        <w:t>数据库添加管理指导文档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after="10" w:line="480" w:lineRule="auto"/>
        <w:textAlignment w:val="auto"/>
        <w:outlineLvl w:val="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kern w:val="44"/>
          <w:sz w:val="24"/>
          <w:szCs w:val="24"/>
        </w:rPr>
        <w:t>堡垒机入方向需要开通端口</w:t>
      </w:r>
    </w:p>
    <w:p>
      <w:pPr>
        <w:rPr>
          <w:rFonts w:hint="eastAsia" w:eastAsia="宋体"/>
          <w:lang w:val="en-US" w:eastAsia="zh-CN"/>
        </w:rPr>
      </w:pPr>
    </w:p>
    <w:tbl>
      <w:tblPr>
        <w:tblStyle w:val="3"/>
        <w:tblW w:w="911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3630"/>
        <w:gridCol w:w="2055"/>
        <w:gridCol w:w="464"/>
        <w:gridCol w:w="10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功能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地址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对应IP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协议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</w:rPr>
              <w:t>端口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WEB访问堡垒机系统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https://IP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SSH客户端访问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参考手册里面的下载自动登录配置文档操作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FTP客户端访问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参考用户手册里面FTP/SFTP登录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2121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20000-21000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Oracle协议代理服务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参考用户手册里面数据库登录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1521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Mysql协议代理服务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参考用户手册里面数据库登录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33306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MSsql协议代理服务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参考用户手册里面数据库登录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1433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DB2协议代理服务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参考用户手册里面数据库登录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50000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TFTP服务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参考用户手册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UDP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SNMP服务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参考用户手册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UDP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手机APP访问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instrText xml:space="preserve"> HYPERLINK "https://IP" </w:instrTex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</w:rPr>
              <w:t>https://IP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fldChar w:fldCharType="end"/>
            </w:r>
            <w:r>
              <w:rPr>
                <w:sz w:val="15"/>
                <w:szCs w:val="18"/>
              </w:rPr>
              <w:t>（手机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APP待推出）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堡垒机内网或者外网IP</w:t>
            </w:r>
          </w:p>
        </w:tc>
        <w:tc>
          <w:tcPr>
            <w:tcW w:w="4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TCP</w:t>
            </w:r>
          </w:p>
        </w:tc>
        <w:tc>
          <w:tcPr>
            <w:tcW w:w="10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8001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val="en-US" w:eastAsia="zh-CN"/>
        </w:rPr>
        <w:t>添加防火墙端口：登录console控制台，找到堡垒机所绑定的防护墙，添加防火墙端口，端口号参考上面，已mysql为例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3583940" cy="1318895"/>
            <wp:effectExtent l="0" t="0" r="16510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3602990" cy="1115695"/>
            <wp:effectExtent l="0" t="0" r="16510" b="825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3893820" cy="1765935"/>
            <wp:effectExtent l="0" t="0" r="11430" b="571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382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261485" cy="2378075"/>
            <wp:effectExtent l="0" t="0" r="5715" b="317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59070" cy="2042795"/>
            <wp:effectExtent l="0" t="0" r="17780" b="1460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16"/>
          <w:lang w:val="en-US" w:eastAsia="zh-CN"/>
        </w:rPr>
        <w:t>添加数据库资源，点击新建。并填写真实对应的协议及端口相关信息，以MySQL为例，如下图：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2877185" cy="2921000"/>
            <wp:effectExtent l="0" t="0" r="1841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填写数据库的账号密码，并选择登录方式并确认。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190240" cy="319024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2、访问控制策略配置，将数据库账号权限与相关的用户进行关联（admin默认也需要进行授权）</w:t>
      </w:r>
    </w:p>
    <w:p>
      <w:pPr>
        <w:jc w:val="center"/>
      </w:pPr>
      <w:r>
        <w:drawing>
          <wp:inline distT="0" distB="0" distL="114300" distR="114300">
            <wp:extent cx="5273675" cy="2054225"/>
            <wp:effectExtent l="0" t="0" r="317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73170" cy="3674745"/>
            <wp:effectExtent l="0" t="0" r="1778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317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3、下载单点登录工具，和客户端工具并进行路径配置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安装单登录和客户端工具，并打开单点登录工具（即SsoDBSettings），并配置客户端路径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4416425" cy="2357755"/>
            <wp:effectExtent l="0" t="0" r="3175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1642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数据库连接，点击运维-主机运维，点击主机后面的登录并选择对应的客户端工具即可。如图：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4986020" cy="1531620"/>
            <wp:effectExtent l="0" t="0" r="508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2447925"/>
            <wp:effectExtent l="0" t="0" r="698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079CC1"/>
    <w:multiLevelType w:val="singleLevel"/>
    <w:tmpl w:val="AA079CC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E2755E61"/>
    <w:multiLevelType w:val="singleLevel"/>
    <w:tmpl w:val="E2755E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D046A9"/>
    <w:rsid w:val="42BF405C"/>
    <w:rsid w:val="509A6C4F"/>
    <w:rsid w:val="519D393B"/>
    <w:rsid w:val="564F1EAA"/>
    <w:rsid w:val="591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p1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Aimee</dc:creator>
  <cp:lastModifiedBy>*Catch My Breath*</cp:lastModifiedBy>
  <dcterms:modified xsi:type="dcterms:W3CDTF">2019-05-09T06:55:32Z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